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center"/>
        <w:rPr>
          <w:rFonts w:hint="eastAsia" w:ascii="黑体" w:hAnsi="黑体" w:eastAsia="黑体" w:cs="黑体"/>
          <w:b/>
          <w:sz w:val="30"/>
          <w:szCs w:val="30"/>
        </w:rPr>
      </w:pPr>
      <w:r>
        <w:rPr>
          <w:rFonts w:hint="eastAsia" w:ascii="黑体" w:hAnsi="黑体" w:eastAsia="黑体" w:cs="黑体"/>
          <w:b/>
          <w:sz w:val="30"/>
          <w:szCs w:val="30"/>
        </w:rPr>
        <w:t>竞 买 协 议</w:t>
      </w:r>
    </w:p>
    <w:p>
      <w:pPr>
        <w:widowControl/>
        <w:spacing w:line="300" w:lineRule="exact"/>
        <w:jc w:val="left"/>
        <w:rPr>
          <w:rFonts w:ascii="宋体" w:cs="仿宋"/>
          <w:sz w:val="24"/>
          <w:szCs w:val="24"/>
        </w:rPr>
      </w:pPr>
    </w:p>
    <w:p>
      <w:pPr>
        <w:widowControl/>
        <w:spacing w:line="240" w:lineRule="auto"/>
        <w:jc w:val="left"/>
        <w:rPr>
          <w:rFonts w:hint="default" w:ascii="宋体" w:eastAsia="宋体" w:cs="仿宋"/>
          <w:szCs w:val="21"/>
          <w:lang w:val="en-US" w:eastAsia="zh-CN"/>
        </w:rPr>
      </w:pPr>
      <w:r>
        <w:rPr>
          <w:rFonts w:hint="eastAsia" w:ascii="宋体" w:cs="仿宋"/>
          <w:szCs w:val="21"/>
        </w:rPr>
        <w:t>甲方（拍卖人）：</w:t>
      </w:r>
      <w:r>
        <w:rPr>
          <w:rFonts w:hint="eastAsia" w:ascii="宋体" w:cs="仿宋"/>
          <w:szCs w:val="21"/>
          <w:lang w:val="en-US" w:eastAsia="zh-CN"/>
        </w:rPr>
        <w:t>深圳市中际汉威</w:t>
      </w:r>
      <w:r>
        <w:rPr>
          <w:rFonts w:hint="eastAsia" w:ascii="宋体" w:cs="仿宋"/>
          <w:szCs w:val="21"/>
        </w:rPr>
        <w:t>拍卖有限公司   统一社会信用代码：</w:t>
      </w:r>
      <w:r>
        <w:rPr>
          <w:rFonts w:hint="eastAsia" w:ascii="宋体" w:cs="仿宋"/>
          <w:szCs w:val="21"/>
          <w:lang w:val="en-US" w:eastAsia="zh-CN"/>
        </w:rPr>
        <w:t>91440300708466236L</w:t>
      </w:r>
    </w:p>
    <w:p>
      <w:pPr>
        <w:widowControl/>
        <w:spacing w:line="240" w:lineRule="auto"/>
        <w:jc w:val="left"/>
        <w:rPr>
          <w:rFonts w:hint="default" w:ascii="宋体" w:eastAsia="宋体" w:cs="仿宋"/>
          <w:szCs w:val="21"/>
          <w:lang w:val="en-US" w:eastAsia="zh-CN"/>
        </w:rPr>
      </w:pPr>
      <w:r>
        <w:rPr>
          <w:rFonts w:hint="eastAsia" w:ascii="宋体" w:cs="仿宋"/>
          <w:szCs w:val="21"/>
        </w:rPr>
        <w:t>法定代表人：</w:t>
      </w:r>
      <w:r>
        <w:rPr>
          <w:rFonts w:hint="eastAsia" w:ascii="宋体" w:cs="仿宋"/>
          <w:szCs w:val="21"/>
          <w:lang w:val="en-US" w:eastAsia="zh-CN"/>
        </w:rPr>
        <w:t xml:space="preserve">张邦梁   </w:t>
      </w:r>
      <w:r>
        <w:rPr>
          <w:rFonts w:ascii="宋体" w:cs="仿宋"/>
          <w:szCs w:val="21"/>
        </w:rPr>
        <w:t xml:space="preserve">                        </w:t>
      </w:r>
      <w:r>
        <w:rPr>
          <w:rFonts w:hint="eastAsia" w:ascii="宋体" w:cs="仿宋"/>
          <w:szCs w:val="21"/>
        </w:rPr>
        <w:t>代理人：</w:t>
      </w:r>
      <w:r>
        <w:rPr>
          <w:rFonts w:hint="eastAsia" w:ascii="宋体" w:cs="仿宋"/>
          <w:szCs w:val="21"/>
          <w:lang w:val="en-US" w:eastAsia="zh-CN"/>
        </w:rPr>
        <w:t>陈鲁熊</w:t>
      </w:r>
      <w:r>
        <w:rPr>
          <w:rFonts w:hint="eastAsia" w:ascii="宋体" w:cs="仿宋"/>
          <w:szCs w:val="21"/>
        </w:rPr>
        <w:t xml:space="preserve"> </w:t>
      </w:r>
      <w:r>
        <w:rPr>
          <w:rFonts w:ascii="宋体" w:cs="仿宋"/>
          <w:szCs w:val="21"/>
        </w:rPr>
        <w:t xml:space="preserve">  </w:t>
      </w:r>
      <w:r>
        <w:rPr>
          <w:rFonts w:hint="eastAsia" w:ascii="宋体" w:cs="仿宋"/>
          <w:szCs w:val="21"/>
        </w:rPr>
        <w:t>联系电话：</w:t>
      </w:r>
      <w:r>
        <w:rPr>
          <w:rFonts w:hint="eastAsia" w:ascii="宋体" w:cs="仿宋"/>
          <w:szCs w:val="21"/>
          <w:lang w:val="en-US" w:eastAsia="zh-CN"/>
        </w:rPr>
        <w:t>13751002201</w:t>
      </w:r>
    </w:p>
    <w:p>
      <w:pPr>
        <w:widowControl/>
        <w:spacing w:line="240" w:lineRule="auto"/>
        <w:jc w:val="left"/>
        <w:rPr>
          <w:rFonts w:hint="eastAsia" w:ascii="宋体" w:cs="仿宋"/>
          <w:szCs w:val="21"/>
        </w:rPr>
      </w:pPr>
    </w:p>
    <w:p>
      <w:pPr>
        <w:widowControl/>
        <w:spacing w:line="240" w:lineRule="auto"/>
        <w:jc w:val="left"/>
        <w:rPr>
          <w:rFonts w:hint="default" w:ascii="宋体" w:eastAsia="宋体" w:cs="仿宋"/>
          <w:szCs w:val="21"/>
          <w:lang w:val="en-US" w:eastAsia="zh-CN"/>
        </w:rPr>
      </w:pPr>
      <w:r>
        <w:rPr>
          <w:rFonts w:hint="eastAsia" w:ascii="宋体" w:cs="仿宋"/>
          <w:szCs w:val="21"/>
        </w:rPr>
        <w:t xml:space="preserve">乙方（竞买人）： </w:t>
      </w:r>
      <w:r>
        <w:rPr>
          <w:rFonts w:hint="eastAsia" w:ascii="宋体" w:cs="仿宋"/>
          <w:szCs w:val="21"/>
          <w:lang w:val="en-US" w:eastAsia="zh-CN"/>
        </w:rPr>
        <w:t xml:space="preserve">      </w:t>
      </w:r>
      <w:r>
        <w:rPr>
          <w:rFonts w:hint="eastAsia" w:ascii="宋体" w:cs="仿宋"/>
          <w:szCs w:val="21"/>
        </w:rPr>
        <w:t xml:space="preserve">              </w:t>
      </w:r>
      <w:r>
        <w:rPr>
          <w:rFonts w:hint="eastAsia" w:ascii="宋体" w:cs="仿宋"/>
          <w:szCs w:val="21"/>
          <w:lang w:val="en-US" w:eastAsia="zh-CN"/>
        </w:rPr>
        <w:t xml:space="preserve">   </w:t>
      </w:r>
      <w:r>
        <w:rPr>
          <w:rFonts w:hint="eastAsia" w:ascii="宋体" w:cs="仿宋"/>
          <w:szCs w:val="21"/>
        </w:rPr>
        <w:t xml:space="preserve">     身份证号码：</w:t>
      </w:r>
    </w:p>
    <w:p>
      <w:pPr>
        <w:widowControl/>
        <w:spacing w:line="240" w:lineRule="auto"/>
        <w:jc w:val="left"/>
        <w:rPr>
          <w:rFonts w:hint="default" w:ascii="宋体" w:eastAsia="宋体" w:cs="仿宋"/>
          <w:szCs w:val="21"/>
          <w:lang w:val="en-US" w:eastAsia="zh-CN"/>
        </w:rPr>
      </w:pPr>
      <w:r>
        <w:rPr>
          <w:rFonts w:hint="eastAsia" w:ascii="宋体" w:cs="仿宋"/>
          <w:szCs w:val="21"/>
        </w:rPr>
        <w:t xml:space="preserve">法定代表人： </w:t>
      </w:r>
      <w:r>
        <w:rPr>
          <w:rFonts w:ascii="宋体" w:cs="仿宋"/>
          <w:szCs w:val="21"/>
        </w:rPr>
        <w:t xml:space="preserve">                      </w:t>
      </w:r>
      <w:r>
        <w:rPr>
          <w:rFonts w:hint="eastAsia" w:ascii="宋体" w:cs="仿宋"/>
          <w:szCs w:val="21"/>
          <w:lang w:val="en-US" w:eastAsia="zh-CN"/>
        </w:rPr>
        <w:t xml:space="preserve">   </w:t>
      </w:r>
      <w:r>
        <w:rPr>
          <w:rFonts w:ascii="宋体" w:cs="仿宋"/>
          <w:szCs w:val="21"/>
        </w:rPr>
        <w:t xml:space="preserve">       </w:t>
      </w:r>
      <w:r>
        <w:rPr>
          <w:rFonts w:hint="eastAsia" w:ascii="宋体" w:cs="仿宋"/>
          <w:szCs w:val="21"/>
        </w:rPr>
        <w:t xml:space="preserve">代理人： </w:t>
      </w:r>
      <w:r>
        <w:rPr>
          <w:rFonts w:ascii="宋体" w:cs="仿宋"/>
          <w:szCs w:val="21"/>
        </w:rPr>
        <w:t xml:space="preserve">     </w:t>
      </w:r>
      <w:r>
        <w:rPr>
          <w:rFonts w:hint="eastAsia" w:ascii="宋体" w:cs="仿宋"/>
          <w:szCs w:val="21"/>
        </w:rPr>
        <w:t xml:space="preserve"> </w:t>
      </w:r>
      <w:r>
        <w:rPr>
          <w:rFonts w:ascii="宋体" w:cs="仿宋"/>
          <w:szCs w:val="21"/>
        </w:rPr>
        <w:t xml:space="preserve">  </w:t>
      </w:r>
      <w:r>
        <w:rPr>
          <w:rFonts w:hint="eastAsia" w:ascii="宋体" w:cs="仿宋"/>
          <w:szCs w:val="21"/>
        </w:rPr>
        <w:t>联系电话：</w:t>
      </w:r>
    </w:p>
    <w:p>
      <w:pPr>
        <w:widowControl/>
        <w:spacing w:line="240" w:lineRule="auto"/>
        <w:jc w:val="left"/>
        <w:rPr>
          <w:rFonts w:ascii="仿宋" w:hAnsi="仿宋" w:eastAsia="仿宋" w:cs="仿宋"/>
          <w:szCs w:val="21"/>
        </w:rPr>
      </w:pPr>
    </w:p>
    <w:p>
      <w:pPr>
        <w:widowControl/>
        <w:snapToGrid w:val="0"/>
        <w:spacing w:line="240" w:lineRule="auto"/>
        <w:ind w:firstLine="420" w:firstLineChars="200"/>
        <w:jc w:val="left"/>
        <w:rPr>
          <w:rFonts w:ascii="宋体" w:cs="仿宋"/>
          <w:szCs w:val="21"/>
        </w:rPr>
      </w:pPr>
      <w:r>
        <w:rPr>
          <w:rFonts w:hint="eastAsia" w:ascii="宋体" w:cs="仿宋"/>
          <w:szCs w:val="21"/>
        </w:rPr>
        <w:t>依据《中华人民共和国民法典》、《中华人民共和国拍卖法》及相关法律法规的规定，在平等基础上，竞买人与拍卖人经友好协商，自愿达成以下协议，以兹共同遵守：</w:t>
      </w:r>
    </w:p>
    <w:p>
      <w:pPr>
        <w:snapToGrid w:val="0"/>
        <w:spacing w:line="240" w:lineRule="auto"/>
        <w:ind w:firstLine="420" w:firstLineChars="200"/>
        <w:jc w:val="left"/>
        <w:rPr>
          <w:rFonts w:ascii="宋体" w:cs="仿宋"/>
          <w:szCs w:val="21"/>
        </w:rPr>
      </w:pPr>
      <w:r>
        <w:rPr>
          <w:rFonts w:hint="eastAsia" w:ascii="宋体" w:cs="仿宋"/>
          <w:szCs w:val="21"/>
        </w:rPr>
        <w:t>1、竞买人已认真阅读拍卖人于202</w:t>
      </w:r>
      <w:r>
        <w:rPr>
          <w:rFonts w:ascii="宋体" w:cs="仿宋"/>
          <w:szCs w:val="21"/>
        </w:rPr>
        <w:t>3</w:t>
      </w:r>
      <w:r>
        <w:rPr>
          <w:rFonts w:hint="eastAsia" w:ascii="宋体" w:cs="仿宋"/>
          <w:szCs w:val="21"/>
        </w:rPr>
        <w:t>年</w:t>
      </w:r>
      <w:r>
        <w:rPr>
          <w:rFonts w:hint="eastAsia" w:ascii="宋体" w:cs="仿宋"/>
          <w:szCs w:val="21"/>
          <w:lang w:val="en-US" w:eastAsia="zh-CN"/>
        </w:rPr>
        <w:t>11</w:t>
      </w:r>
      <w:r>
        <w:rPr>
          <w:rFonts w:hint="eastAsia" w:ascii="宋体" w:cs="仿宋"/>
          <w:szCs w:val="21"/>
        </w:rPr>
        <w:t>月</w:t>
      </w:r>
      <w:r>
        <w:rPr>
          <w:rFonts w:ascii="宋体" w:cs="仿宋"/>
          <w:szCs w:val="21"/>
        </w:rPr>
        <w:t>1</w:t>
      </w:r>
      <w:r>
        <w:rPr>
          <w:rFonts w:hint="eastAsia" w:ascii="宋体" w:cs="仿宋"/>
          <w:szCs w:val="21"/>
          <w:lang w:val="en-US" w:eastAsia="zh-CN"/>
        </w:rPr>
        <w:t>5</w:t>
      </w:r>
      <w:r>
        <w:rPr>
          <w:rFonts w:hint="eastAsia" w:ascii="宋体" w:cs="仿宋"/>
          <w:szCs w:val="21"/>
        </w:rPr>
        <w:t>日1</w:t>
      </w:r>
      <w:r>
        <w:rPr>
          <w:rFonts w:ascii="宋体" w:cs="仿宋"/>
          <w:szCs w:val="21"/>
        </w:rPr>
        <w:t>5</w:t>
      </w:r>
      <w:r>
        <w:rPr>
          <w:rFonts w:hint="eastAsia" w:ascii="宋体" w:cs="仿宋"/>
          <w:szCs w:val="21"/>
        </w:rPr>
        <w:t>：0</w:t>
      </w:r>
      <w:r>
        <w:rPr>
          <w:rFonts w:ascii="宋体" w:cs="仿宋"/>
          <w:szCs w:val="21"/>
        </w:rPr>
        <w:t>0</w:t>
      </w:r>
      <w:r>
        <w:rPr>
          <w:rFonts w:hint="eastAsia" w:ascii="宋体" w:cs="仿宋"/>
          <w:szCs w:val="21"/>
        </w:rPr>
        <w:t>至1</w:t>
      </w:r>
      <w:r>
        <w:rPr>
          <w:rFonts w:ascii="宋体" w:cs="仿宋"/>
          <w:szCs w:val="21"/>
        </w:rPr>
        <w:t>5</w:t>
      </w:r>
      <w:r>
        <w:rPr>
          <w:rFonts w:hint="eastAsia" w:ascii="宋体" w:cs="仿宋"/>
          <w:szCs w:val="21"/>
        </w:rPr>
        <w:t>：3</w:t>
      </w:r>
      <w:r>
        <w:rPr>
          <w:rFonts w:ascii="宋体" w:cs="仿宋"/>
          <w:szCs w:val="21"/>
        </w:rPr>
        <w:t>0</w:t>
      </w:r>
      <w:r>
        <w:rPr>
          <w:rFonts w:hint="eastAsia" w:ascii="宋体" w:cs="仿宋"/>
          <w:szCs w:val="21"/>
        </w:rPr>
        <w:t>止（延时除外）在淘宝网络拍卖平台（https://zc-paimai.taobao.com/）在线公开举行的深圳海关涉案财物【</w:t>
      </w:r>
      <w:r>
        <w:rPr>
          <w:rFonts w:hint="eastAsia" w:ascii="宋体"/>
          <w:bCs/>
          <w:szCs w:val="21"/>
        </w:rPr>
        <w:t>（20235399财务处拍卖</w:t>
      </w:r>
      <w:r>
        <w:rPr>
          <w:rFonts w:hint="eastAsia" w:ascii="宋体"/>
          <w:bCs/>
          <w:szCs w:val="21"/>
          <w:lang w:val="en-US" w:eastAsia="zh-CN"/>
        </w:rPr>
        <w:t>0107</w:t>
      </w:r>
      <w:r>
        <w:rPr>
          <w:rFonts w:hint="eastAsia" w:ascii="宋体"/>
          <w:bCs/>
          <w:szCs w:val="21"/>
        </w:rPr>
        <w:t>号）</w:t>
      </w:r>
      <w:r>
        <w:rPr>
          <w:rFonts w:hint="eastAsia" w:ascii="宋体"/>
          <w:bCs/>
          <w:szCs w:val="21"/>
          <w:lang w:val="en-US" w:eastAsia="zh-CN"/>
        </w:rPr>
        <w:t>琥珀原石等</w:t>
      </w:r>
      <w:r>
        <w:rPr>
          <w:rFonts w:hint="eastAsia" w:ascii="宋体"/>
          <w:bCs/>
          <w:szCs w:val="21"/>
        </w:rPr>
        <w:t>一批</w:t>
      </w:r>
      <w:r>
        <w:rPr>
          <w:rFonts w:hint="eastAsia" w:ascii="宋体" w:cs="仿宋"/>
          <w:szCs w:val="21"/>
        </w:rPr>
        <w:t>】的网络拍卖会的《拍卖公告》和《竞拍须知》，已知悉其中载明的各项条款及规定，并同意在拍卖活动中遵守《拍卖公告》及《竞拍须知》中的一切条款。同时，已了解拍卖标的现状及拍卖人告知的瑕疵，成交后竞买人如有违反《竞拍须知》条款的行为，将承担相关的法律责任。</w:t>
      </w:r>
    </w:p>
    <w:p>
      <w:pPr>
        <w:snapToGrid w:val="0"/>
        <w:spacing w:line="240" w:lineRule="auto"/>
        <w:ind w:firstLine="420" w:firstLineChars="200"/>
        <w:jc w:val="left"/>
        <w:rPr>
          <w:rFonts w:ascii="宋体" w:cs="仿宋"/>
          <w:szCs w:val="21"/>
        </w:rPr>
      </w:pPr>
      <w:r>
        <w:rPr>
          <w:rFonts w:hint="eastAsia" w:ascii="宋体" w:cs="仿宋"/>
          <w:szCs w:val="21"/>
        </w:rPr>
        <w:t>2、竞买人知悉，本次拍卖以标的现状进行拍卖。拍卖人对拍卖标的的真实性及可能存在的瑕疵不承担担保责任。拍卖人对拍卖标的所作的介绍与评价均为参考性意见，不构成对拍卖标的的任何担保。竞买人承诺自行查看拍卖标的相关资料，并对自己竞买拍卖标的的行为承担风险和法律责任。拍卖人应向竞买人说明委托人已告知的拍卖标的瑕疵，并合法披露拍卖标的的相关信息。</w:t>
      </w:r>
    </w:p>
    <w:p>
      <w:pPr>
        <w:snapToGrid w:val="0"/>
        <w:spacing w:line="240" w:lineRule="auto"/>
        <w:ind w:firstLine="420" w:firstLineChars="200"/>
        <w:jc w:val="left"/>
        <w:rPr>
          <w:rFonts w:ascii="宋体" w:cs="仿宋"/>
          <w:szCs w:val="21"/>
        </w:rPr>
      </w:pPr>
      <w:r>
        <w:rPr>
          <w:rFonts w:hint="eastAsia" w:ascii="宋体" w:cs="仿宋"/>
          <w:szCs w:val="21"/>
        </w:rPr>
        <w:t>3、竞买人参加拍卖活动，应在拍卖人规定的时间内交纳竞买保证金。若竞买人未能竞得拍卖标的，则竞买保证金全额无息返还竞买人；若竞买人竞得拍卖标的，需按《拍卖成交确认书》的约定</w:t>
      </w:r>
      <w:r>
        <w:rPr>
          <w:rFonts w:hint="eastAsia" w:ascii="宋体" w:cs="仿宋"/>
          <w:color w:val="000000" w:themeColor="text1"/>
          <w:szCs w:val="21"/>
        </w:rPr>
        <w:t>向委托人</w:t>
      </w:r>
      <w:r>
        <w:rPr>
          <w:rFonts w:hint="eastAsia" w:ascii="宋体" w:cs="仿宋"/>
          <w:szCs w:val="21"/>
        </w:rPr>
        <w:t>付清成交价款，同时向拍卖人支付拍卖佣金，拍卖佣金按实际成交价的5%计算。若竞买人未履行拍卖标的交易中规定的义务，则竞买保证金不予返还，拍卖人有权按《中华人民共和国拍卖法》及相关法律、法规的规定追究乙方的法律责任。</w:t>
      </w:r>
    </w:p>
    <w:p>
      <w:pPr>
        <w:snapToGrid w:val="0"/>
        <w:spacing w:line="240" w:lineRule="auto"/>
        <w:ind w:firstLine="420" w:firstLineChars="200"/>
        <w:jc w:val="left"/>
        <w:rPr>
          <w:rFonts w:ascii="宋体" w:cs="仿宋"/>
          <w:szCs w:val="21"/>
        </w:rPr>
      </w:pPr>
      <w:r>
        <w:rPr>
          <w:rFonts w:hint="eastAsia" w:ascii="宋体" w:cs="仿宋"/>
          <w:szCs w:val="21"/>
        </w:rPr>
        <w:t>4、竞买人应妥善保管竞买账号，不得将竞买账号出借他人使用，否则，竞买人须对他人使用其竞买账号竞买拍卖标的的行为承担全部法律责任。</w:t>
      </w:r>
    </w:p>
    <w:p>
      <w:pPr>
        <w:snapToGrid w:val="0"/>
        <w:spacing w:line="240" w:lineRule="auto"/>
        <w:ind w:firstLine="420" w:firstLineChars="200"/>
        <w:jc w:val="left"/>
        <w:rPr>
          <w:rFonts w:hint="eastAsia" w:ascii="宋体" w:cs="仿宋"/>
          <w:szCs w:val="21"/>
          <w:lang w:val="en-US" w:eastAsia="zh-CN"/>
        </w:rPr>
      </w:pPr>
      <w:r>
        <w:rPr>
          <w:rFonts w:hint="eastAsia" w:ascii="宋体" w:cs="仿宋"/>
          <w:szCs w:val="21"/>
        </w:rPr>
        <w:t>5、</w:t>
      </w:r>
      <w:r>
        <w:rPr>
          <w:rFonts w:hint="eastAsia" w:ascii="宋体" w:cs="仿宋"/>
          <w:szCs w:val="21"/>
          <w:lang w:val="en-US" w:eastAsia="zh-CN"/>
        </w:rPr>
        <w:t>竞买人不得为下述机构及人员：</w:t>
      </w:r>
    </w:p>
    <w:p>
      <w:pPr>
        <w:snapToGrid w:val="0"/>
        <w:spacing w:line="240" w:lineRule="auto"/>
        <w:ind w:firstLine="420" w:firstLineChars="200"/>
        <w:jc w:val="left"/>
        <w:rPr>
          <w:rFonts w:hint="default" w:ascii="宋体" w:cs="仿宋"/>
          <w:szCs w:val="21"/>
          <w:lang w:val="en-US" w:eastAsia="zh-CN"/>
        </w:rPr>
      </w:pPr>
      <w:r>
        <w:rPr>
          <w:rFonts w:hint="eastAsia" w:ascii="宋体" w:cs="仿宋"/>
          <w:szCs w:val="21"/>
          <w:lang w:val="en-US" w:eastAsia="zh-CN"/>
        </w:rPr>
        <w:t>（1）海关及其工作人员；（2）网络拍卖平台及其工作人员；（3）承担拍卖工作的拍卖企业及其工作人员；（4）第（1）至（3）项规定主体的工作人员近亲属。</w:t>
      </w:r>
    </w:p>
    <w:p>
      <w:pPr>
        <w:snapToGrid w:val="0"/>
        <w:spacing w:line="240" w:lineRule="auto"/>
        <w:ind w:firstLine="420" w:firstLineChars="200"/>
        <w:jc w:val="left"/>
        <w:rPr>
          <w:rFonts w:hint="eastAsia" w:ascii="宋体" w:cs="仿宋"/>
          <w:szCs w:val="21"/>
          <w:lang w:val="en-US" w:eastAsia="zh-CN"/>
        </w:rPr>
      </w:pPr>
      <w:r>
        <w:rPr>
          <w:rFonts w:hint="eastAsia" w:ascii="宋体" w:cs="仿宋"/>
          <w:szCs w:val="21"/>
        </w:rPr>
        <w:t>6、</w:t>
      </w:r>
      <w:r>
        <w:rPr>
          <w:rFonts w:hint="eastAsia" w:ascii="宋体" w:cs="仿宋"/>
          <w:szCs w:val="21"/>
          <w:lang w:val="en-US" w:eastAsia="zh-CN"/>
        </w:rPr>
        <w:t>拍卖成交后，买受人请于拍卖成交之时起72小时内将拍卖成交价款全额一次性支付到委托人指定账户</w:t>
      </w:r>
      <w:r>
        <w:rPr>
          <w:rFonts w:hint="eastAsia" w:ascii="宋体" w:cs="仿宋"/>
          <w:b/>
          <w:bCs/>
          <w:color w:val="FF0000"/>
          <w:sz w:val="24"/>
          <w:szCs w:val="24"/>
          <w:lang w:val="en-US" w:eastAsia="zh-CN"/>
        </w:rPr>
        <w:t>【账户：深圳市中际汉威拍卖有限公司；开户行：中国农业银行深圳罗湖支行；账号：41001200040032547，备注：成交价款必须由买受人实名一次性全额缴纳，不能由授权委托人代转，转款须注明：（20235399财务处拍卖0107号）琥珀原石等一批拍卖款】</w:t>
      </w:r>
      <w:r>
        <w:rPr>
          <w:rFonts w:hint="eastAsia" w:ascii="宋体" w:cs="仿宋"/>
          <w:b/>
          <w:bCs/>
          <w:sz w:val="24"/>
          <w:szCs w:val="24"/>
          <w:lang w:val="en-US" w:eastAsia="zh-CN"/>
        </w:rPr>
        <w:t>。</w:t>
      </w:r>
      <w:r>
        <w:rPr>
          <w:rFonts w:hint="eastAsia" w:ascii="宋体" w:cs="仿宋"/>
          <w:szCs w:val="21"/>
          <w:lang w:val="en-US" w:eastAsia="zh-CN"/>
        </w:rPr>
        <w:t>买受人拍卖前缴纳至淘宝网络拍卖平台的竞买保证金冲抵拍卖佣金，不足部分，由买受人于拍卖成交之时起72小时内支付至拍卖人指定账户（户名：深圳市中际汉威拍卖有限公司，开户行：平安银行深圳新城支行，账号：11006038238301），待拍卖人向深圳海关确定收到成交价款后，扣除拍卖佣金后剩余的竞买保证金由拍卖人退还给买受人。</w:t>
      </w:r>
      <w:bookmarkStart w:id="1" w:name="_GoBack"/>
      <w:bookmarkEnd w:id="1"/>
    </w:p>
    <w:p>
      <w:pPr>
        <w:snapToGrid w:val="0"/>
        <w:spacing w:line="240" w:lineRule="auto"/>
        <w:ind w:firstLine="420" w:firstLineChars="200"/>
        <w:jc w:val="left"/>
        <w:rPr>
          <w:rFonts w:ascii="宋体" w:cs="仿宋"/>
          <w:szCs w:val="21"/>
        </w:rPr>
      </w:pPr>
      <w:r>
        <w:rPr>
          <w:rFonts w:hint="eastAsia" w:ascii="宋体" w:cs="仿宋"/>
          <w:szCs w:val="21"/>
        </w:rPr>
        <w:t>7、竞买人竞得拍卖标的并全额支付成交价款、拍卖佣金及平台软件服务费后，即可获得拍卖标的所有权。按照《竞拍须知》与《拍卖成交确认书》之规定办理拍卖标的交接手续，拍卖人协助买受人办理上述事宜，所产生的相关税费全部由买受人自行承担。</w:t>
      </w:r>
    </w:p>
    <w:p>
      <w:pPr>
        <w:snapToGrid w:val="0"/>
        <w:spacing w:line="240" w:lineRule="auto"/>
        <w:ind w:firstLine="420" w:firstLineChars="200"/>
        <w:jc w:val="left"/>
        <w:rPr>
          <w:rFonts w:ascii="宋体" w:cs="仿宋"/>
          <w:szCs w:val="21"/>
        </w:rPr>
      </w:pPr>
      <w:r>
        <w:rPr>
          <w:rFonts w:hint="eastAsia" w:ascii="宋体" w:cs="仿宋"/>
          <w:szCs w:val="21"/>
        </w:rPr>
        <w:t>8、任何一方违反本协议约定的，违约方应向守约方赔偿由此所产生的一切费用及损失。双方因履行本协议所产生的纠纷，双方应协商解决，协商不成的，任何一方均应向深圳市罗湖区人民法院提起诉讼。</w:t>
      </w:r>
    </w:p>
    <w:p>
      <w:pPr>
        <w:snapToGrid w:val="0"/>
        <w:spacing w:line="240" w:lineRule="auto"/>
        <w:ind w:firstLine="420" w:firstLineChars="200"/>
        <w:jc w:val="left"/>
        <w:rPr>
          <w:rFonts w:ascii="宋体" w:cs="仿宋"/>
          <w:kern w:val="2"/>
          <w:szCs w:val="21"/>
        </w:rPr>
      </w:pPr>
      <w:r>
        <w:rPr>
          <w:rFonts w:ascii="宋体"/>
          <w:szCs w:val="21"/>
        </w:rPr>
        <w:t>9</w:t>
      </w:r>
      <w:r>
        <w:rPr>
          <w:rFonts w:hint="eastAsia" w:ascii="宋体"/>
          <w:szCs w:val="21"/>
        </w:rPr>
        <w:t>、本次网络拍卖会的《拍卖公告》及《竞拍须知》为本协议之组成部分，具有相同法律效力。</w:t>
      </w:r>
    </w:p>
    <w:p>
      <w:pPr>
        <w:snapToGrid w:val="0"/>
        <w:spacing w:line="240" w:lineRule="auto"/>
        <w:ind w:firstLine="420" w:firstLineChars="200"/>
        <w:jc w:val="left"/>
        <w:rPr>
          <w:rFonts w:ascii="宋体" w:cs="仿宋"/>
          <w:szCs w:val="21"/>
        </w:rPr>
      </w:pPr>
      <w:r>
        <w:rPr>
          <w:rFonts w:ascii="宋体" w:cs="仿宋"/>
          <w:szCs w:val="21"/>
        </w:rPr>
        <w:t>10</w:t>
      </w:r>
      <w:r>
        <w:rPr>
          <w:rFonts w:hint="eastAsia" w:ascii="宋体" w:cs="仿宋"/>
          <w:szCs w:val="21"/>
        </w:rPr>
        <w:t>、本协议自双方签署之日起生效，至双方权利义务履行完毕之日终止。本协议一式两份，双方各执一份，具有同等法律效力。</w:t>
      </w:r>
    </w:p>
    <w:p>
      <w:pPr>
        <w:snapToGrid w:val="0"/>
        <w:spacing w:line="280" w:lineRule="exact"/>
        <w:ind w:firstLine="210" w:firstLineChars="100"/>
        <w:rPr>
          <w:rFonts w:ascii="宋体" w:cs="仿宋"/>
          <w:szCs w:val="21"/>
        </w:rPr>
      </w:pPr>
    </w:p>
    <w:p>
      <w:pPr>
        <w:widowControl/>
        <w:snapToGrid w:val="0"/>
        <w:spacing w:line="280" w:lineRule="exact"/>
        <w:ind w:firstLine="480"/>
        <w:jc w:val="left"/>
        <w:rPr>
          <w:rFonts w:hint="eastAsia" w:ascii="宋体" w:cs="仿宋"/>
          <w:szCs w:val="21"/>
        </w:rPr>
      </w:pPr>
    </w:p>
    <w:p>
      <w:pPr>
        <w:widowControl/>
        <w:snapToGrid w:val="0"/>
        <w:spacing w:line="280" w:lineRule="exact"/>
        <w:ind w:firstLine="480"/>
        <w:jc w:val="left"/>
        <w:rPr>
          <w:rFonts w:ascii="宋体" w:cs="仿宋"/>
          <w:szCs w:val="21"/>
        </w:rPr>
      </w:pPr>
      <w:r>
        <w:rPr>
          <w:rFonts w:hint="eastAsia" w:ascii="宋体" w:cs="仿宋"/>
          <w:szCs w:val="21"/>
        </w:rPr>
        <w:t>竞买人（签字）：                    拍卖人（盖章）：</w:t>
      </w:r>
    </w:p>
    <w:p>
      <w:pPr>
        <w:widowControl/>
        <w:snapToGrid w:val="0"/>
        <w:spacing w:line="300" w:lineRule="exact"/>
        <w:ind w:firstLine="480"/>
        <w:jc w:val="left"/>
        <w:rPr>
          <w:rFonts w:ascii="宋体" w:cs="仿宋"/>
          <w:szCs w:val="21"/>
        </w:rPr>
      </w:pPr>
      <w:r>
        <w:rPr>
          <w:rFonts w:hint="eastAsia" w:ascii="宋体" w:cs="仿宋"/>
          <w:szCs w:val="21"/>
        </w:rPr>
        <w:t xml:space="preserve">法定代表人/代理人（签字）： </w:t>
      </w:r>
      <w:r>
        <w:rPr>
          <w:rFonts w:ascii="宋体" w:cs="仿宋"/>
          <w:szCs w:val="21"/>
        </w:rPr>
        <w:t xml:space="preserve">                 </w:t>
      </w:r>
      <w:r>
        <w:rPr>
          <w:rFonts w:hint="eastAsia" w:ascii="宋体" w:cs="仿宋"/>
          <w:szCs w:val="21"/>
        </w:rPr>
        <w:t>法定代表人/代理人（签字）：</w:t>
      </w:r>
    </w:p>
    <w:p>
      <w:pPr>
        <w:widowControl/>
        <w:snapToGrid w:val="0"/>
        <w:spacing w:line="300" w:lineRule="exact"/>
        <w:ind w:firstLine="480"/>
        <w:jc w:val="left"/>
        <w:rPr>
          <w:rFonts w:ascii="宋体" w:cs="仿宋"/>
          <w:szCs w:val="21"/>
        </w:rPr>
      </w:pPr>
      <w:r>
        <w:rPr>
          <w:rFonts w:hint="eastAsia" w:ascii="宋体" w:cs="仿宋"/>
          <w:szCs w:val="21"/>
        </w:rPr>
        <w:t>签定日期：</w:t>
      </w:r>
      <w:r>
        <w:rPr>
          <w:rFonts w:ascii="宋体" w:cs="仿宋"/>
          <w:szCs w:val="21"/>
        </w:rPr>
        <w:t xml:space="preserve">      </w:t>
      </w:r>
      <w:r>
        <w:rPr>
          <w:rFonts w:hint="eastAsia" w:ascii="宋体" w:cs="仿宋"/>
          <w:szCs w:val="21"/>
        </w:rPr>
        <w:t>年   月   日                 签定日期：     年   月   日</w:t>
      </w:r>
    </w:p>
    <w:p>
      <w:pPr>
        <w:widowControl/>
        <w:snapToGrid w:val="0"/>
        <w:spacing w:line="300" w:lineRule="exact"/>
        <w:ind w:firstLine="480"/>
        <w:jc w:val="left"/>
        <w:rPr>
          <w:rFonts w:ascii="宋体" w:cs="仿宋"/>
          <w:b/>
          <w:bCs/>
          <w:szCs w:val="21"/>
        </w:rPr>
      </w:pPr>
    </w:p>
    <w:p>
      <w:pPr>
        <w:widowControl/>
        <w:spacing w:line="400" w:lineRule="exact"/>
        <w:jc w:val="left"/>
        <w:rPr>
          <w:rFonts w:hint="eastAsia" w:ascii="Verdana" w:hAnsi="Verdana" w:eastAsia="宋体" w:cs="Verdana"/>
          <w:b/>
          <w:bCs/>
          <w:caps w:val="0"/>
          <w:color w:val="7F7F7F"/>
          <w:spacing w:val="0"/>
          <w:sz w:val="36"/>
          <w:szCs w:val="36"/>
          <w:shd w:val="clear" w:fill="EFF5FB"/>
          <w:lang w:val="en-US" w:eastAsia="zh-CN"/>
        </w:rPr>
      </w:pPr>
      <w:r>
        <w:rPr>
          <w:rFonts w:hint="eastAsia" w:ascii="仿宋" w:hAnsi="仿宋" w:eastAsia="仿宋" w:cs="仿宋"/>
          <w:b/>
          <w:bCs/>
          <w:sz w:val="24"/>
          <w:szCs w:val="24"/>
          <w:lang w:val="en-US" w:eastAsia="zh-CN"/>
        </w:rPr>
        <w:t>签字盖章后发送至：</w:t>
      </w:r>
      <w:bookmarkStart w:id="0" w:name="account_fzdpmh@139.com"/>
      <w:r>
        <w:rPr>
          <w:rFonts w:hint="eastAsia" w:ascii="仿宋" w:hAnsi="仿宋" w:eastAsia="仿宋" w:cs="仿宋"/>
          <w:b/>
          <w:bCs/>
          <w:sz w:val="24"/>
          <w:szCs w:val="24"/>
          <w:lang w:val="en-US" w:eastAsia="zh-CN"/>
        </w:rPr>
        <w:t>848254900</w:t>
      </w:r>
      <w:bookmarkEnd w:id="0"/>
      <w:r>
        <w:rPr>
          <w:rFonts w:hint="eastAsia" w:ascii="仿宋" w:hAnsi="仿宋" w:eastAsia="仿宋" w:cs="仿宋"/>
          <w:b/>
          <w:bCs/>
          <w:sz w:val="24"/>
          <w:szCs w:val="24"/>
          <w:lang w:val="en-US" w:eastAsia="zh-CN"/>
        </w:rPr>
        <w:t>@qq.com</w:t>
      </w:r>
    </w:p>
    <w:sectPr>
      <w:footerReference r:id="rId3" w:type="default"/>
      <w:pgSz w:w="11906" w:h="16838"/>
      <w:pgMar w:top="670" w:right="1006" w:bottom="62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hAnsi="Times New Roman"/>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UyMjQwNmVjYzgwNjkyNjY1YzY3MjhlMjI2YmQwNDIifQ=="/>
  </w:docVars>
  <w:rsids>
    <w:rsidRoot w:val="004E70E6"/>
    <w:rsid w:val="00322201"/>
    <w:rsid w:val="00393E21"/>
    <w:rsid w:val="004E70E6"/>
    <w:rsid w:val="00A909A1"/>
    <w:rsid w:val="00BA1AB5"/>
    <w:rsid w:val="00D17307"/>
    <w:rsid w:val="00FA2D9D"/>
    <w:rsid w:val="02222DD7"/>
    <w:rsid w:val="08252607"/>
    <w:rsid w:val="0BA03D3F"/>
    <w:rsid w:val="0E9E4472"/>
    <w:rsid w:val="10EE49A5"/>
    <w:rsid w:val="135D3CDC"/>
    <w:rsid w:val="147E04A0"/>
    <w:rsid w:val="237B6B10"/>
    <w:rsid w:val="2B952D17"/>
    <w:rsid w:val="30304354"/>
    <w:rsid w:val="38816588"/>
    <w:rsid w:val="3E7E0B20"/>
    <w:rsid w:val="42DC4B20"/>
    <w:rsid w:val="46694F98"/>
    <w:rsid w:val="4B212F96"/>
    <w:rsid w:val="51631A89"/>
    <w:rsid w:val="57730066"/>
    <w:rsid w:val="5904481F"/>
    <w:rsid w:val="59CB4261"/>
    <w:rsid w:val="5CBB2292"/>
    <w:rsid w:val="5D371F8A"/>
    <w:rsid w:val="63E80627"/>
    <w:rsid w:val="67017BE7"/>
    <w:rsid w:val="76176F28"/>
    <w:rsid w:val="7F4F5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bCs/>
    </w:rPr>
  </w:style>
  <w:style w:type="character" w:customStyle="1" w:styleId="8">
    <w:name w:val="页眉 Char"/>
    <w:basedOn w:val="6"/>
    <w:link w:val="3"/>
    <w:qFormat/>
    <w:uiPriority w:val="0"/>
    <w:rPr>
      <w:rFonts w:ascii="Times New Roman" w:hAnsi="宋体" w:eastAsia="宋体" w:cs="宋体"/>
      <w:sz w:val="18"/>
      <w:szCs w:val="18"/>
    </w:rPr>
  </w:style>
  <w:style w:type="character" w:customStyle="1" w:styleId="9">
    <w:name w:val="页脚 Char"/>
    <w:basedOn w:val="6"/>
    <w:link w:val="2"/>
    <w:qFormat/>
    <w:uiPriority w:val="0"/>
    <w:rPr>
      <w:rFonts w:ascii="Times New Roman"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http://www.deepbbs.org</Company>
  <Pages>1</Pages>
  <Words>1546</Words>
  <Characters>1682</Characters>
  <Lines>8</Lines>
  <Paragraphs>2</Paragraphs>
  <TotalTime>9</TotalTime>
  <ScaleCrop>false</ScaleCrop>
  <LinksUpToDate>false</LinksUpToDate>
  <CharactersWithSpaces>1867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2022-06-26T07:53:00Z</dcterms:created>
  <dc:creator>Administrator</dc:creator>
  <cp:lastModifiedBy>林燕萍</cp:lastModifiedBy>
  <dcterms:modified xsi:type="dcterms:W3CDTF">2023-11-02T06:51:20Z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E6BB977342EA480394C1C3B1D49514C8</vt:lpwstr>
  </property>
</Properties>
</file>